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tabs>
          <w:tab w:leader="none" w:pos="6816" w:val="left"/>
          <w:tab w:leader="none" w:pos="7050" w:val="left"/>
        </w:tabs>
        <w:spacing w:after="0" w:line="240" w:lineRule="auto"/>
        <w:ind/>
        <w:jc w:val="right"/>
        <w:rPr>
          <w:rFonts w:ascii="Times New Roman" w:hAnsi="Times New Roman"/>
          <w:color w:val="FF0000"/>
          <w:sz w:val="28"/>
        </w:rPr>
      </w:pPr>
      <w:r>
        <w:drawing>
          <wp:anchor allowOverlap="true" behindDoc="false" layoutInCell="true" locked="false" relativeHeight="251658240" simplePos="false">
            <wp:simplePos x="0" y="0"/>
            <wp:positionH relativeFrom="column">
              <wp:posOffset>2788920</wp:posOffset>
            </wp:positionH>
            <wp:positionV relativeFrom="paragraph">
              <wp:posOffset>58420</wp:posOffset>
            </wp:positionV>
            <wp:extent cx="647700" cy="800100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47700" cy="80010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color w:val="FF0000"/>
          <w:sz w:val="28"/>
        </w:rPr>
        <w:tab/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РОЕКТ</w:t>
      </w:r>
    </w:p>
    <w:p w14:paraId="04000000">
      <w:pPr>
        <w:tabs>
          <w:tab w:leader="none" w:pos="7332" w:val="left"/>
        </w:tabs>
        <w:spacing w:after="0" w:line="240" w:lineRule="auto"/>
        <w:ind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ab/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8000000">
      <w:pPr>
        <w:spacing w:after="0"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</w:t>
      </w:r>
      <w:r>
        <w:rPr>
          <w:rFonts w:ascii="Times New Roman" w:hAnsi="Times New Roman"/>
          <w:b w:val="1"/>
          <w:sz w:val="24"/>
        </w:rPr>
        <w:t>ОВЕТ МУНИЦИПАЛЬНОГО ОБРАЗОВАНИЯ</w:t>
      </w:r>
    </w:p>
    <w:p w14:paraId="09000000">
      <w:pPr>
        <w:spacing w:after="0"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ТУАПСИНСКИЙ МУНИЦИПАЛЬНЫЙ ОКРУГ</w:t>
      </w:r>
    </w:p>
    <w:p w14:paraId="0A000000">
      <w:pPr>
        <w:spacing w:after="0" w:line="36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КРАСНОДАРСКОГО КРАЯ</w:t>
      </w:r>
    </w:p>
    <w:p w14:paraId="0B000000">
      <w:pPr>
        <w:spacing w:after="0" w:line="240" w:lineRule="auto"/>
        <w:ind w:firstLine="708" w:left="0"/>
        <w:jc w:val="center"/>
        <w:rPr>
          <w:rFonts w:ascii="Times New Roman" w:hAnsi="Times New Roman"/>
          <w:b w:val="1"/>
          <w:sz w:val="24"/>
        </w:rPr>
      </w:pPr>
    </w:p>
    <w:p w14:paraId="0C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СЕССИЯ - </w:t>
      </w:r>
      <w:r>
        <w:rPr>
          <w:rFonts w:ascii="Times New Roman" w:hAnsi="Times New Roman"/>
          <w:b w:val="1"/>
          <w:color w:val="000000"/>
          <w:sz w:val="24"/>
        </w:rPr>
        <w:t>37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</w:p>
    <w:p w14:paraId="0E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39"/>
          <w:sz w:val="32"/>
        </w:rPr>
        <w:t>РЕШЕНИЕ</w:t>
      </w:r>
    </w:p>
    <w:p w14:paraId="0F000000">
      <w:pPr>
        <w:spacing w:after="0" w:line="322" w:lineRule="exact"/>
        <w:ind/>
        <w:rPr>
          <w:rFonts w:ascii="Times New Roman" w:hAnsi="Times New Roman"/>
          <w:sz w:val="24"/>
        </w:rPr>
      </w:pPr>
    </w:p>
    <w:tbl>
      <w:tblPr>
        <w:tblStyle w:val="Style_2"/>
        <w:tblW w:type="auto" w:w="0"/>
        <w:tblLayout w:type="fixed"/>
        <w:tblCellMar>
          <w:left w:type="dxa" w:w="0"/>
          <w:right w:type="dxa" w:w="0"/>
        </w:tblCellMar>
      </w:tblPr>
      <w:tblGrid>
        <w:gridCol w:w="5640"/>
        <w:gridCol w:w="3999"/>
      </w:tblGrid>
      <w:tr>
        <w:trPr>
          <w:trHeight w:hRule="atLeast" w:val="322"/>
        </w:trPr>
        <w:tc>
          <w:tcPr>
            <w:tcW w:type="dxa" w:w="5640"/>
            <w:shd w:fill="auto" w:val="clear"/>
            <w:tcMar>
              <w:left w:type="dxa" w:w="0"/>
              <w:right w:type="dxa" w:w="0"/>
            </w:tcMar>
            <w:vAlign w:val="bottom"/>
          </w:tcPr>
          <w:p w14:paraId="10000000">
            <w:pPr>
              <w:spacing w:after="0" w:line="0" w:lineRule="atLeast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</w:rPr>
              <w:t>______________</w:t>
            </w:r>
          </w:p>
        </w:tc>
        <w:tc>
          <w:tcPr>
            <w:tcW w:type="dxa" w:w="3999"/>
            <w:shd w:fill="auto" w:val="clear"/>
            <w:tcMar>
              <w:left w:type="dxa" w:w="0"/>
              <w:right w:type="dxa" w:w="0"/>
            </w:tcMar>
            <w:vAlign w:val="bottom"/>
          </w:tcPr>
          <w:p w14:paraId="11000000">
            <w:pPr>
              <w:spacing w:after="0" w:line="0" w:lineRule="atLeast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</w:rPr>
              <w:t>№ _____</w:t>
            </w:r>
            <w:r>
              <w:rPr>
                <w:rFonts w:ascii="Times New Roman" w:hAnsi="Times New Roman"/>
                <w:sz w:val="28"/>
              </w:rPr>
              <w:t>___</w:t>
            </w:r>
            <w:r>
              <w:rPr>
                <w:rFonts w:ascii="Times New Roman" w:hAnsi="Times New Roman"/>
                <w:sz w:val="28"/>
              </w:rPr>
              <w:t>___</w:t>
            </w:r>
          </w:p>
        </w:tc>
      </w:tr>
    </w:tbl>
    <w:p w14:paraId="12000000">
      <w:pPr>
        <w:numPr>
          <w:ilvl w:val="2"/>
          <w:numId w:val="1"/>
        </w:numPr>
        <w:tabs>
          <w:tab w:leader="none" w:pos="4720" w:val="left"/>
        </w:tabs>
        <w:spacing w:after="0" w:line="0" w:lineRule="atLeast"/>
        <w:ind w:hanging="258" w:left="4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Туапсе</w:t>
      </w:r>
    </w:p>
    <w:p w14:paraId="13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Об установлении </w:t>
      </w:r>
      <w:r>
        <w:rPr>
          <w:rFonts w:ascii="Times New Roman" w:hAnsi="Times New Roman"/>
          <w:b w:val="1"/>
          <w:spacing w:val="-2"/>
          <w:sz w:val="28"/>
        </w:rPr>
        <w:t>на территории</w:t>
      </w:r>
      <w:r>
        <w:rPr>
          <w:rFonts w:ascii="Times New Roman" w:hAnsi="Times New Roman"/>
          <w:b w:val="1"/>
          <w:spacing w:val="-2"/>
          <w:sz w:val="28"/>
        </w:rPr>
        <w:br/>
      </w:r>
      <w:r>
        <w:rPr>
          <w:rFonts w:ascii="Times New Roman" w:hAnsi="Times New Roman"/>
          <w:b w:val="1"/>
          <w:spacing w:val="-2"/>
          <w:sz w:val="28"/>
        </w:rPr>
        <w:t>Туапсинск</w:t>
      </w:r>
      <w:r>
        <w:rPr>
          <w:rFonts w:ascii="Times New Roman" w:hAnsi="Times New Roman"/>
          <w:b w:val="1"/>
          <w:spacing w:val="-2"/>
          <w:sz w:val="28"/>
        </w:rPr>
        <w:t>ого</w:t>
      </w:r>
      <w:r>
        <w:rPr>
          <w:rFonts w:ascii="Times New Roman" w:hAnsi="Times New Roman"/>
          <w:b w:val="1"/>
          <w:spacing w:val="-2"/>
          <w:sz w:val="28"/>
        </w:rPr>
        <w:t xml:space="preserve"> муниципальн</w:t>
      </w:r>
      <w:r>
        <w:rPr>
          <w:rFonts w:ascii="Times New Roman" w:hAnsi="Times New Roman"/>
          <w:b w:val="1"/>
          <w:spacing w:val="-2"/>
          <w:sz w:val="28"/>
        </w:rPr>
        <w:t>ого</w:t>
      </w:r>
      <w:r>
        <w:rPr>
          <w:rFonts w:ascii="Times New Roman" w:hAnsi="Times New Roman"/>
          <w:b w:val="1"/>
          <w:spacing w:val="-2"/>
          <w:sz w:val="28"/>
        </w:rPr>
        <w:t xml:space="preserve"> округ</w:t>
      </w:r>
      <w:r>
        <w:rPr>
          <w:rFonts w:ascii="Times New Roman" w:hAnsi="Times New Roman"/>
          <w:b w:val="1"/>
          <w:spacing w:val="-2"/>
          <w:sz w:val="28"/>
        </w:rPr>
        <w:t>а</w:t>
      </w:r>
      <w:r>
        <w:rPr>
          <w:rFonts w:ascii="Times New Roman" w:hAnsi="Times New Roman"/>
          <w:b w:val="1"/>
          <w:spacing w:val="-2"/>
          <w:sz w:val="28"/>
        </w:rPr>
        <w:br/>
      </w:r>
      <w:r>
        <w:rPr>
          <w:rFonts w:ascii="Times New Roman" w:hAnsi="Times New Roman"/>
          <w:b w:val="1"/>
          <w:spacing w:val="-2"/>
          <w:sz w:val="28"/>
        </w:rPr>
        <w:t>дополнительной меры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  <w:r>
        <w:rPr>
          <w:rFonts w:ascii="Times New Roman" w:hAnsi="Times New Roman"/>
          <w:b w:val="1"/>
          <w:spacing w:val="-2"/>
          <w:sz w:val="28"/>
        </w:rPr>
        <w:t>социальной поддержки</w:t>
      </w:r>
      <w:r>
        <w:rPr>
          <w:rFonts w:ascii="Times New Roman" w:hAnsi="Times New Roman"/>
          <w:b w:val="1"/>
          <w:spacing w:val="-2"/>
          <w:sz w:val="28"/>
        </w:rPr>
        <w:br/>
      </w:r>
      <w:r>
        <w:rPr>
          <w:rFonts w:ascii="Times New Roman" w:hAnsi="Times New Roman"/>
          <w:b w:val="1"/>
          <w:spacing w:val="-2"/>
          <w:sz w:val="28"/>
        </w:rPr>
        <w:t>в виде единовременной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  <w:r>
        <w:rPr>
          <w:rFonts w:ascii="Times New Roman" w:hAnsi="Times New Roman"/>
          <w:b w:val="1"/>
          <w:spacing w:val="-2"/>
          <w:sz w:val="28"/>
        </w:rPr>
        <w:t>денежной выплаты</w:t>
      </w:r>
      <w:r>
        <w:rPr>
          <w:rFonts w:ascii="Times New Roman" w:hAnsi="Times New Roman"/>
          <w:b w:val="1"/>
          <w:spacing w:val="-2"/>
          <w:sz w:val="28"/>
        </w:rPr>
        <w:br/>
      </w:r>
      <w:r>
        <w:rPr>
          <w:rFonts w:ascii="Times New Roman" w:hAnsi="Times New Roman"/>
          <w:b w:val="1"/>
          <w:spacing w:val="-2"/>
          <w:sz w:val="28"/>
        </w:rPr>
        <w:t>инвалидам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  <w:r>
        <w:rPr>
          <w:rFonts w:ascii="Times New Roman" w:hAnsi="Times New Roman"/>
          <w:b w:val="1"/>
          <w:spacing w:val="-2"/>
          <w:sz w:val="28"/>
        </w:rPr>
        <w:t>и семьям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  <w:r>
        <w:rPr>
          <w:rFonts w:ascii="Times New Roman" w:hAnsi="Times New Roman"/>
          <w:b w:val="1"/>
          <w:spacing w:val="-2"/>
          <w:sz w:val="28"/>
        </w:rPr>
        <w:t xml:space="preserve">с </w:t>
      </w:r>
      <w:r>
        <w:rPr>
          <w:rFonts w:ascii="Times New Roman" w:hAnsi="Times New Roman"/>
          <w:b w:val="1"/>
          <w:spacing w:val="-2"/>
          <w:sz w:val="28"/>
        </w:rPr>
        <w:t>дет</w:t>
      </w:r>
      <w:r>
        <w:rPr>
          <w:rFonts w:ascii="Times New Roman" w:hAnsi="Times New Roman"/>
          <w:b w:val="1"/>
          <w:spacing w:val="-2"/>
          <w:sz w:val="28"/>
        </w:rPr>
        <w:t>ьми</w:t>
      </w:r>
      <w:r>
        <w:rPr>
          <w:rFonts w:ascii="Times New Roman" w:hAnsi="Times New Roman"/>
          <w:b w:val="1"/>
          <w:spacing w:val="-2"/>
          <w:sz w:val="28"/>
        </w:rPr>
        <w:t>-инвалид</w:t>
      </w:r>
      <w:r>
        <w:rPr>
          <w:rFonts w:ascii="Times New Roman" w:hAnsi="Times New Roman"/>
          <w:b w:val="1"/>
          <w:spacing w:val="-2"/>
          <w:sz w:val="28"/>
        </w:rPr>
        <w:t>ам</w:t>
      </w:r>
      <w:r>
        <w:rPr>
          <w:rFonts w:ascii="Times New Roman" w:hAnsi="Times New Roman"/>
          <w:b w:val="1"/>
          <w:spacing w:val="-2"/>
          <w:sz w:val="28"/>
        </w:rPr>
        <w:t>и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</w:p>
    <w:p w14:paraId="16000000">
      <w:pPr>
        <w:spacing w:after="0" w:line="240" w:lineRule="auto"/>
        <w:ind/>
        <w:jc w:val="center"/>
        <w:rPr>
          <w:rFonts w:ascii="Times New Roman" w:hAnsi="Times New Roman"/>
          <w:b w:val="1"/>
          <w:spacing w:val="-2"/>
          <w:sz w:val="28"/>
        </w:rPr>
      </w:pPr>
    </w:p>
    <w:p w14:paraId="17000000">
      <w:pPr>
        <w:spacing w:after="0" w:line="240" w:lineRule="auto"/>
        <w:ind/>
        <w:jc w:val="center"/>
        <w:rPr>
          <w:rFonts w:ascii="Times New Roman" w:hAnsi="Times New Roman"/>
          <w:b w:val="1"/>
          <w:spacing w:val="-2"/>
          <w:sz w:val="28"/>
        </w:rPr>
      </w:pPr>
    </w:p>
    <w:p w14:paraId="18000000">
      <w:pPr>
        <w:tabs>
          <w:tab w:leader="none" w:pos="851" w:val="left"/>
        </w:tabs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Руководствуясь </w:t>
      </w:r>
      <w:r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едеральным</w:t>
      </w:r>
      <w:r>
        <w:rPr>
          <w:rFonts w:ascii="Times New Roman" w:hAnsi="Times New Roman"/>
          <w:sz w:val="28"/>
        </w:rPr>
        <w:t>и законами</w:t>
      </w:r>
      <w:r>
        <w:rPr>
          <w:rFonts w:ascii="Times New Roman" w:hAnsi="Times New Roman"/>
          <w:sz w:val="28"/>
        </w:rPr>
        <w:t xml:space="preserve"> от 6 октября 2003 г.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20 марта 2025 г.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от 31 июля 1998 г. №</w:t>
      </w:r>
      <w:r>
        <w:rPr>
          <w:rFonts w:ascii="Times New Roman" w:hAnsi="Times New Roman"/>
          <w:sz w:val="28"/>
        </w:rPr>
        <w:t xml:space="preserve"> 145–</w:t>
      </w:r>
      <w:r>
        <w:rPr>
          <w:rFonts w:ascii="Times New Roman" w:hAnsi="Times New Roman"/>
          <w:sz w:val="28"/>
        </w:rPr>
        <w:t>ФЗ «Бюджетны</w:t>
      </w:r>
      <w:r>
        <w:rPr>
          <w:rFonts w:ascii="Times New Roman" w:hAnsi="Times New Roman"/>
          <w:sz w:val="28"/>
        </w:rPr>
        <w:t>й кодекс</w:t>
      </w:r>
      <w:r>
        <w:rPr>
          <w:rFonts w:ascii="Times New Roman" w:hAnsi="Times New Roman"/>
          <w:sz w:val="28"/>
        </w:rPr>
        <w:t xml:space="preserve"> Российской Федерации»</w:t>
      </w:r>
      <w:r>
        <w:rPr>
          <w:rFonts w:ascii="Times New Roman" w:hAnsi="Times New Roman"/>
          <w:sz w:val="28"/>
        </w:rPr>
        <w:t>, Уставом Туапсинск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поручением </w:t>
      </w:r>
      <w:r>
        <w:rPr>
          <w:rFonts w:ascii="Times New Roman" w:hAnsi="Times New Roman"/>
          <w:sz w:val="28"/>
        </w:rPr>
        <w:t>Губернатор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Краснодарского края </w:t>
      </w:r>
      <w:r>
        <w:rPr>
          <w:rFonts w:ascii="Times New Roman" w:hAnsi="Times New Roman"/>
          <w:sz w:val="28"/>
        </w:rPr>
        <w:t>по итогам заседан</w:t>
      </w:r>
      <w:r>
        <w:rPr>
          <w:rFonts w:ascii="Times New Roman" w:hAnsi="Times New Roman"/>
          <w:sz w:val="28"/>
        </w:rPr>
        <w:t>ия межведомственной комиссии</w:t>
      </w:r>
      <w:r>
        <w:rPr>
          <w:rFonts w:ascii="Times New Roman" w:hAnsi="Times New Roman"/>
          <w:sz w:val="28"/>
        </w:rPr>
        <w:t xml:space="preserve"> по координации оказания необходимой социальной поддержки и помощи участникам специальной военной операции чл</w:t>
      </w:r>
      <w:r>
        <w:rPr>
          <w:rFonts w:ascii="Times New Roman" w:hAnsi="Times New Roman"/>
          <w:sz w:val="28"/>
        </w:rPr>
        <w:t>енам их семей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от 22 апреля 2025 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Совет муниципального образования Туапсинский муниципальный округ</w:t>
      </w:r>
      <w:r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 е ш и л:</w:t>
      </w:r>
    </w:p>
    <w:p w14:paraId="19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>1.</w:t>
      </w:r>
      <w:r>
        <w:rPr>
          <w:rFonts w:ascii="Times New Roman" w:hAnsi="Times New Roman"/>
          <w:spacing w:val="-2"/>
          <w:sz w:val="28"/>
        </w:rPr>
        <w:t> </w:t>
      </w:r>
      <w:r>
        <w:rPr>
          <w:rFonts w:ascii="Times New Roman" w:hAnsi="Times New Roman"/>
          <w:sz w:val="28"/>
        </w:rPr>
        <w:t>Установить на территории Туапсинск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 xml:space="preserve">ого округа </w:t>
      </w:r>
      <w:r>
        <w:rPr>
          <w:rFonts w:ascii="Times New Roman" w:hAnsi="Times New Roman"/>
          <w:sz w:val="28"/>
        </w:rPr>
        <w:t xml:space="preserve">дополнительную меру социальной поддержки </w:t>
      </w:r>
      <w:r>
        <w:rPr>
          <w:rFonts w:ascii="Times New Roman" w:hAnsi="Times New Roman"/>
          <w:sz w:val="28"/>
        </w:rPr>
        <w:t>в виде единовременной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денежной выплаты инвалидам и семьям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детьми-инвалидами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 целях компенсации принятых мер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1A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</w:t>
      </w:r>
      <w:r>
        <w:rPr>
          <w:rFonts w:ascii="Times New Roman" w:hAnsi="Times New Roman"/>
          <w:sz w:val="28"/>
        </w:rPr>
        <w:t xml:space="preserve">Единовременную денежную выплату производить </w:t>
      </w:r>
      <w:r>
        <w:rPr>
          <w:rFonts w:ascii="Times New Roman" w:hAnsi="Times New Roman"/>
          <w:sz w:val="28"/>
        </w:rPr>
        <w:t>инвалидам и семьям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с детьми-инвалидами </w:t>
      </w:r>
      <w:r>
        <w:rPr>
          <w:rFonts w:ascii="Times New Roman" w:hAnsi="Times New Roman"/>
          <w:sz w:val="28"/>
        </w:rPr>
        <w:t xml:space="preserve">на мероприятия по </w:t>
      </w:r>
      <w:r>
        <w:rPr>
          <w:rFonts w:ascii="Times New Roman" w:hAnsi="Times New Roman"/>
          <w:sz w:val="28"/>
        </w:rPr>
        <w:t>приспособлению</w:t>
      </w:r>
      <w:r>
        <w:rPr>
          <w:rFonts w:ascii="Times New Roman" w:hAnsi="Times New Roman"/>
          <w:sz w:val="28"/>
        </w:rPr>
        <w:t xml:space="preserve"> жилых помещений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общего имущества в многоквартирном доме</w:t>
      </w:r>
      <w:r>
        <w:rPr>
          <w:rFonts w:ascii="Times New Roman" w:hAnsi="Times New Roman"/>
          <w:sz w:val="28"/>
        </w:rPr>
        <w:t>, исходя из фактическ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затрат</w:t>
      </w:r>
      <w:r>
        <w:rPr>
          <w:rFonts w:ascii="Times New Roman" w:hAnsi="Times New Roman"/>
          <w:sz w:val="28"/>
        </w:rPr>
        <w:t xml:space="preserve"> инвалида</w:t>
      </w:r>
      <w:r>
        <w:rPr>
          <w:rFonts w:ascii="Times New Roman" w:hAnsi="Times New Roman"/>
          <w:sz w:val="28"/>
        </w:rPr>
        <w:t>, при этом она не должна превышать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100 000 (ст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тысяч) рублей.</w:t>
      </w:r>
    </w:p>
    <w:p w14:paraId="1B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 xml:space="preserve">Порядок предоставления дополнительной меры социальной поддержки </w:t>
      </w:r>
      <w:r>
        <w:rPr>
          <w:rFonts w:ascii="Times New Roman" w:hAnsi="Times New Roman"/>
          <w:color w:val="000000"/>
          <w:sz w:val="28"/>
        </w:rPr>
        <w:t xml:space="preserve">гражданам </w:t>
      </w:r>
      <w:r>
        <w:rPr>
          <w:rFonts w:ascii="Times New Roman" w:hAnsi="Times New Roman"/>
          <w:sz w:val="28"/>
        </w:rPr>
        <w:t xml:space="preserve">в виде единовременной денежной выплаты </w:t>
      </w:r>
      <w:r>
        <w:rPr>
          <w:rFonts w:ascii="Times New Roman" w:hAnsi="Times New Roman"/>
          <w:sz w:val="28"/>
        </w:rPr>
        <w:t>инвалидам и семьям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с детьми-инвалидами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утверждается постановлением администрации Туапсинск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муниципальн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color w:val="000000"/>
          <w:sz w:val="28"/>
        </w:rPr>
        <w:t xml:space="preserve"> округ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.</w:t>
      </w:r>
    </w:p>
    <w:p w14:paraId="1C000000">
      <w:pPr>
        <w:widowControl w:val="0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Опубликовать настоящее решение в средстве массовой информации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газете</w:t>
      </w:r>
      <w:r>
        <w:rPr>
          <w:rFonts w:ascii="Times New Roman" w:hAnsi="Times New Roman"/>
          <w:color w:val="000000"/>
          <w:sz w:val="28"/>
        </w:rPr>
        <w:t xml:space="preserve"> (сетевом издании)</w:t>
      </w:r>
      <w:r>
        <w:rPr>
          <w:rFonts w:ascii="Times New Roman" w:hAnsi="Times New Roman"/>
          <w:color w:val="000000"/>
          <w:sz w:val="28"/>
        </w:rPr>
        <w:t xml:space="preserve"> «</w:t>
      </w:r>
      <w:r>
        <w:rPr>
          <w:rFonts w:ascii="Times New Roman" w:hAnsi="Times New Roman"/>
          <w:color w:val="000000"/>
          <w:sz w:val="28"/>
        </w:rPr>
        <w:t>Туапсинские вести</w:t>
      </w:r>
      <w:r>
        <w:rPr>
          <w:rFonts w:ascii="Times New Roman" w:hAnsi="Times New Roman"/>
          <w:color w:val="000000"/>
          <w:sz w:val="28"/>
        </w:rPr>
        <w:t>».</w:t>
      </w:r>
    </w:p>
    <w:p w14:paraId="1D000000">
      <w:pPr>
        <w:widowControl w:val="0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. Разместить настоящее решение на официальном сайте Совета муниципального образования Туапсинский </w:t>
      </w:r>
      <w:r>
        <w:rPr>
          <w:rFonts w:ascii="Times New Roman" w:hAnsi="Times New Roman"/>
          <w:color w:val="000000"/>
          <w:sz w:val="28"/>
        </w:rPr>
        <w:t>муниципальный округ</w:t>
      </w:r>
      <w:r>
        <w:rPr>
          <w:rFonts w:ascii="Times New Roman" w:hAnsi="Times New Roman"/>
          <w:color w:val="000000"/>
          <w:sz w:val="28"/>
        </w:rPr>
        <w:t xml:space="preserve"> Краснодарского края</w:t>
      </w:r>
      <w:r>
        <w:rPr>
          <w:rFonts w:ascii="Times New Roman" w:hAnsi="Times New Roman"/>
          <w:color w:val="000000"/>
          <w:sz w:val="28"/>
        </w:rPr>
        <w:t xml:space="preserve"> в информационно-телекоммуникационной сети «Интернет».</w:t>
      </w:r>
    </w:p>
    <w:p w14:paraId="1E000000">
      <w:pPr>
        <w:spacing w:after="0" w:line="240" w:lineRule="auto"/>
        <w:ind w:firstLine="709" w:left="0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6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spacing w:val="-1"/>
          <w:sz w:val="28"/>
        </w:rPr>
        <w:t> </w:t>
      </w:r>
      <w:r>
        <w:rPr>
          <w:rFonts w:ascii="Times New Roman" w:hAnsi="Times New Roman"/>
          <w:spacing w:val="-1"/>
          <w:sz w:val="28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социальным вопросам, вопросам здравоохранения, образования, культуры и делам семьи.</w:t>
      </w:r>
    </w:p>
    <w:p w14:paraId="1F000000">
      <w:pPr>
        <w:tabs>
          <w:tab w:leader="none" w:pos="720" w:val="left"/>
        </w:tabs>
        <w:spacing w:after="0" w:line="240" w:lineRule="auto"/>
        <w:ind w:firstLine="709" w:left="0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1"/>
          <w:sz w:val="28"/>
        </w:rPr>
        <w:t>7</w:t>
      </w:r>
      <w:r>
        <w:rPr>
          <w:rFonts w:ascii="Times New Roman" w:hAnsi="Times New Roman"/>
          <w:spacing w:val="-1"/>
          <w:sz w:val="28"/>
        </w:rPr>
        <w:t>.</w:t>
      </w:r>
      <w:r>
        <w:rPr>
          <w:rFonts w:ascii="Times New Roman" w:hAnsi="Times New Roman"/>
          <w:spacing w:val="-1"/>
          <w:sz w:val="28"/>
        </w:rPr>
        <w:t> </w:t>
      </w:r>
      <w:r>
        <w:rPr>
          <w:rFonts w:ascii="Times New Roman" w:hAnsi="Times New Roman"/>
          <w:spacing w:val="-1"/>
          <w:sz w:val="28"/>
        </w:rPr>
        <w:t>Решение вступает в силу со дня его</w:t>
      </w:r>
      <w:r>
        <w:rPr>
          <w:rFonts w:ascii="Times New Roman" w:hAnsi="Times New Roman"/>
          <w:spacing w:val="-1"/>
          <w:sz w:val="28"/>
        </w:rPr>
        <w:t xml:space="preserve"> официального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опубликования</w:t>
      </w:r>
      <w:r>
        <w:rPr>
          <w:rFonts w:ascii="Times New Roman" w:hAnsi="Times New Roman"/>
          <w:spacing w:val="-1"/>
          <w:sz w:val="28"/>
        </w:rPr>
        <w:t xml:space="preserve">. </w:t>
      </w:r>
    </w:p>
    <w:p w14:paraId="20000000">
      <w:pPr>
        <w:tabs>
          <w:tab w:leader="none" w:pos="701" w:val="left"/>
        </w:tabs>
        <w:spacing w:after="0" w:line="240" w:lineRule="auto"/>
        <w:ind w:firstLine="709" w:left="0"/>
        <w:jc w:val="both"/>
        <w:rPr>
          <w:rFonts w:ascii="Times New Roman" w:hAnsi="Times New Roman"/>
          <w:spacing w:val="-2"/>
          <w:sz w:val="28"/>
        </w:rPr>
      </w:pPr>
    </w:p>
    <w:p w14:paraId="21000000">
      <w:pPr>
        <w:tabs>
          <w:tab w:leader="none" w:pos="701" w:val="left"/>
        </w:tabs>
        <w:spacing w:after="0" w:line="240" w:lineRule="auto"/>
        <w:ind w:firstLine="709" w:left="0"/>
        <w:jc w:val="both"/>
        <w:rPr>
          <w:rFonts w:ascii="Times New Roman" w:hAnsi="Times New Roman"/>
          <w:spacing w:val="-2"/>
          <w:sz w:val="28"/>
        </w:rPr>
      </w:pPr>
    </w:p>
    <w:p w14:paraId="22000000">
      <w:pPr>
        <w:tabs>
          <w:tab w:leader="none" w:pos="701" w:val="left"/>
        </w:tabs>
        <w:spacing w:after="0" w:line="240" w:lineRule="auto"/>
        <w:ind w:firstLine="709" w:left="0"/>
        <w:jc w:val="both"/>
        <w:rPr>
          <w:rFonts w:ascii="Times New Roman" w:hAnsi="Times New Roman"/>
          <w:spacing w:val="-2"/>
          <w:sz w:val="28"/>
        </w:rPr>
      </w:pPr>
    </w:p>
    <w:p w14:paraId="23000000">
      <w:pPr>
        <w:tabs>
          <w:tab w:leader="none" w:pos="4677" w:val="center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</w:p>
    <w:p w14:paraId="24000000">
      <w:pPr>
        <w:tabs>
          <w:tab w:leader="none" w:pos="4677" w:val="center"/>
        </w:tabs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                            </w:t>
      </w:r>
      <w:r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С.А. Бойко</w:t>
      </w:r>
    </w:p>
    <w:p w14:paraId="25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2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</w:t>
      </w:r>
    </w:p>
    <w:p w14:paraId="28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29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</w:t>
      </w:r>
    </w:p>
    <w:p w14:paraId="2A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     П.М. Кихтенко</w:t>
      </w:r>
    </w:p>
    <w:p w14:paraId="2B000000">
      <w:pPr>
        <w:spacing w:after="0" w:line="240" w:lineRule="auto"/>
        <w:ind w:firstLine="0" w:left="567" w:right="566"/>
        <w:jc w:val="center"/>
        <w:rPr>
          <w:rFonts w:ascii="Times New Roman" w:hAnsi="Times New Roman"/>
          <w:b w:val="1"/>
          <w:sz w:val="28"/>
        </w:rPr>
      </w:pPr>
    </w:p>
    <w:p w14:paraId="2C000000">
      <w:pPr>
        <w:spacing w:after="0" w:line="240" w:lineRule="auto"/>
        <w:ind w:firstLine="0" w:left="567" w:right="566"/>
        <w:jc w:val="center"/>
        <w:rPr>
          <w:rFonts w:ascii="Times New Roman" w:hAnsi="Times New Roman"/>
          <w:b w:val="1"/>
          <w:sz w:val="28"/>
        </w:rPr>
      </w:pPr>
    </w:p>
    <w:p w14:paraId="2D000000">
      <w:pPr>
        <w:spacing w:after="0" w:line="240" w:lineRule="auto"/>
        <w:ind w:firstLine="0" w:left="567" w:right="566"/>
        <w:jc w:val="center"/>
        <w:rPr>
          <w:rFonts w:ascii="Times New Roman" w:hAnsi="Times New Roman"/>
          <w:b w:val="1"/>
          <w:sz w:val="28"/>
        </w:rPr>
      </w:pPr>
    </w:p>
    <w:p w14:paraId="2E000000">
      <w:pPr>
        <w:spacing w:after="0" w:line="240" w:lineRule="auto"/>
        <w:ind w:firstLine="0" w:left="567" w:right="566"/>
        <w:jc w:val="center"/>
        <w:rPr>
          <w:rFonts w:ascii="Times New Roman" w:hAnsi="Times New Roman"/>
          <w:b w:val="1"/>
          <w:sz w:val="28"/>
        </w:rPr>
      </w:pPr>
    </w:p>
    <w:sectPr>
      <w:headerReference r:id="rId1" w:type="default"/>
      <w:pgSz w:h="16838" w:orient="portrait" w:w="11906"/>
      <w:pgMar w:bottom="993" w:footer="709" w:gutter="0" w:header="709" w:left="1701" w:right="567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spacing w:after="0"/>
      <w:ind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  <w:p w14:paraId="02000000">
    <w:pPr>
      <w:pStyle w:val="Style_1"/>
      <w:spacing w:after="0"/>
      <w:ind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В"/>
      <w:lvlJc w:val="left"/>
    </w:lvl>
    <w:lvl w:ilvl="1">
      <w:start w:val="1"/>
      <w:numFmt w:val="bullet"/>
      <w:lvlText w:val="О"/>
      <w:lvlJc w:val="left"/>
    </w:lvl>
    <w:lvl w:ilvl="2">
      <w:start w:val="1"/>
      <w:numFmt w:val="bullet"/>
      <w:lvlText w:val="г."/>
      <w:lvlJc w:val="left"/>
    </w:lvl>
    <w:lvl w:ilvl="3">
      <w:start w:val="1"/>
      <w:numFmt w:val="bullet"/>
      <w:lvlJc w:val="left"/>
    </w:lvl>
    <w:lvl w:ilvl="4">
      <w:start w:val="1"/>
      <w:numFmt w:val="bullet"/>
      <w:lvlJc w:val="left"/>
    </w:lvl>
    <w:lvl w:ilvl="5">
      <w:start w:val="1"/>
      <w:numFmt w:val="bullet"/>
      <w:lvlJc w:val="left"/>
    </w:lvl>
    <w:lvl w:ilvl="6">
      <w:start w:val="1"/>
      <w:numFmt w:val="bullet"/>
      <w:lvlJc w:val="left"/>
    </w:lvl>
    <w:lvl w:ilvl="7">
      <w:start w:val="1"/>
      <w:numFmt w:val="bullet"/>
      <w:lvlJc w:val="left"/>
    </w:lvl>
    <w:lvl w:ilvl="8">
      <w:start w:val="1"/>
      <w:numFmt w:val="bullet"/>
      <w:lvlJc w:val="left"/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567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200" w:line="276" w:lineRule="auto"/>
      <w:ind/>
    </w:pPr>
    <w:rPr>
      <w:sz w:val="22"/>
    </w:rPr>
  </w:style>
  <w:style w:default="1" w:styleId="Style_4_ch" w:type="character">
    <w:name w:val="Normal"/>
    <w:link w:val="Style_4"/>
    <w:rPr>
      <w:sz w:val="22"/>
    </w:rPr>
  </w:style>
  <w:style w:styleId="Style_3" w:type="paragraph">
    <w:name w:val="ConsNormal"/>
    <w:link w:val="Style_3_ch"/>
    <w:pPr>
      <w:widowControl w:val="0"/>
      <w:ind w:firstLine="720" w:left="0"/>
    </w:pPr>
    <w:rPr>
      <w:rFonts w:ascii="Arial" w:hAnsi="Arial"/>
    </w:rPr>
  </w:style>
  <w:style w:styleId="Style_3_ch" w:type="character">
    <w:name w:val="ConsNormal"/>
    <w:link w:val="Style_3"/>
    <w:rPr>
      <w:rFonts w:ascii="Arial" w:hAnsi="Arial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Body Text Indent"/>
    <w:basedOn w:val="Style_4"/>
    <w:link w:val="Style_6_ch"/>
    <w:pPr>
      <w:spacing w:after="120" w:line="240" w:lineRule="auto"/>
      <w:ind w:firstLine="0" w:left="283"/>
    </w:pPr>
    <w:rPr>
      <w:rFonts w:ascii="Times New Roman" w:hAnsi="Times New Roman"/>
      <w:sz w:val="24"/>
    </w:rPr>
  </w:style>
  <w:style w:styleId="Style_6_ch" w:type="character">
    <w:name w:val="Body Text Indent"/>
    <w:basedOn w:val="Style_4_ch"/>
    <w:link w:val="Style_6"/>
    <w:rPr>
      <w:rFonts w:ascii="Times New Roman" w:hAnsi="Times New Roman"/>
      <w:sz w:val="24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footer"/>
    <w:basedOn w:val="Style_4"/>
    <w:link w:val="Style_9_ch"/>
    <w:pPr>
      <w:tabs>
        <w:tab w:leader="none" w:pos="4677" w:val="center"/>
        <w:tab w:leader="none" w:pos="9355" w:val="right"/>
      </w:tabs>
      <w:ind/>
    </w:pPr>
  </w:style>
  <w:style w:styleId="Style_9_ch" w:type="character">
    <w:name w:val="footer"/>
    <w:basedOn w:val="Style_4_ch"/>
    <w:link w:val="Style_9"/>
  </w:style>
  <w:style w:styleId="Style_10" w:type="paragraph">
    <w:name w:val="toc 7"/>
    <w:next w:val="Style_4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4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4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ConsPlusTitle"/>
    <w:link w:val="Style_19_ch"/>
    <w:pPr>
      <w:widowControl w:val="0"/>
      <w:ind/>
    </w:pPr>
    <w:rPr>
      <w:b w:val="1"/>
      <w:sz w:val="22"/>
    </w:rPr>
  </w:style>
  <w:style w:styleId="Style_19_ch" w:type="character">
    <w:name w:val="ConsPlusTitle"/>
    <w:link w:val="Style_19"/>
    <w:rPr>
      <w:b w:val="1"/>
      <w:sz w:val="22"/>
    </w:rPr>
  </w:style>
  <w:style w:styleId="Style_20" w:type="paragraph">
    <w:name w:val="toc 1"/>
    <w:next w:val="Style_4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4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ConsPlusNonformat"/>
    <w:link w:val="Style_23_ch"/>
    <w:pPr>
      <w:widowControl w:val="0"/>
      <w:ind/>
    </w:pPr>
    <w:rPr>
      <w:rFonts w:ascii="Courier New" w:hAnsi="Courier New"/>
    </w:rPr>
  </w:style>
  <w:style w:styleId="Style_23_ch" w:type="character">
    <w:name w:val="ConsPlusNonformat"/>
    <w:link w:val="Style_23"/>
    <w:rPr>
      <w:rFonts w:ascii="Courier New" w:hAnsi="Courier New"/>
    </w:rPr>
  </w:style>
  <w:style w:styleId="Style_24" w:type="paragraph">
    <w:name w:val="toc 8"/>
    <w:next w:val="Style_4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Plain Text"/>
    <w:basedOn w:val="Style_4"/>
    <w:link w:val="Style_25_ch"/>
    <w:pPr>
      <w:spacing w:after="0" w:line="240" w:lineRule="auto"/>
      <w:ind/>
    </w:pPr>
    <w:rPr>
      <w:rFonts w:ascii="Courier New" w:hAnsi="Courier New"/>
      <w:sz w:val="20"/>
    </w:rPr>
  </w:style>
  <w:style w:styleId="Style_25_ch" w:type="character">
    <w:name w:val="Plain Text"/>
    <w:basedOn w:val="Style_4_ch"/>
    <w:link w:val="Style_25"/>
    <w:rPr>
      <w:rFonts w:ascii="Courier New" w:hAnsi="Courier New"/>
      <w:sz w:val="20"/>
    </w:rPr>
  </w:style>
  <w:style w:styleId="Style_26" w:type="paragraph">
    <w:name w:val="toc 5"/>
    <w:next w:val="Style_4"/>
    <w:link w:val="Style_2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4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Balloon Text"/>
    <w:basedOn w:val="Style_4"/>
    <w:link w:val="Style_28_ch"/>
    <w:pPr>
      <w:spacing w:after="0" w:line="240" w:lineRule="auto"/>
      <w:ind/>
    </w:pPr>
    <w:rPr>
      <w:rFonts w:ascii="Tahoma" w:hAnsi="Tahoma"/>
      <w:sz w:val="16"/>
    </w:rPr>
  </w:style>
  <w:style w:styleId="Style_28_ch" w:type="character">
    <w:name w:val="Balloon Text"/>
    <w:basedOn w:val="Style_4_ch"/>
    <w:link w:val="Style_28"/>
    <w:rPr>
      <w:rFonts w:ascii="Tahoma" w:hAnsi="Tahoma"/>
      <w:sz w:val="16"/>
    </w:rPr>
  </w:style>
  <w:style w:styleId="Style_29" w:type="paragraph">
    <w:name w:val="Title"/>
    <w:basedOn w:val="Style_4"/>
    <w:link w:val="Style_29_ch"/>
    <w:uiPriority w:val="10"/>
    <w:qFormat/>
    <w:pPr>
      <w:spacing w:after="0" w:line="240" w:lineRule="auto"/>
      <w:ind/>
      <w:jc w:val="center"/>
    </w:pPr>
    <w:rPr>
      <w:rFonts w:ascii="Times New Roman" w:hAnsi="Times New Roman"/>
      <w:b w:val="1"/>
      <w:sz w:val="32"/>
    </w:rPr>
  </w:style>
  <w:style w:styleId="Style_29_ch" w:type="character">
    <w:name w:val="Title"/>
    <w:basedOn w:val="Style_4_ch"/>
    <w:link w:val="Style_29"/>
    <w:rPr>
      <w:rFonts w:ascii="Times New Roman" w:hAnsi="Times New Roman"/>
      <w:b w:val="1"/>
      <w:sz w:val="32"/>
    </w:rPr>
  </w:style>
  <w:style w:styleId="Style_30" w:type="paragraph">
    <w:name w:val="heading 4"/>
    <w:next w:val="Style_4"/>
    <w:link w:val="Style_3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4"/>
    <w:link w:val="Style_3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styleId="Style_32" w:type="paragraph">
    <w:name w:val="heading 6"/>
    <w:basedOn w:val="Style_4"/>
    <w:next w:val="Style_4"/>
    <w:link w:val="Style_32_ch"/>
    <w:uiPriority w:val="9"/>
    <w:qFormat/>
    <w:pPr>
      <w:keepNext w:val="1"/>
      <w:spacing w:after="0" w:line="240" w:lineRule="auto"/>
      <w:ind/>
      <w:jc w:val="center"/>
      <w:outlineLvl w:val="5"/>
    </w:pPr>
    <w:rPr>
      <w:rFonts w:ascii="Times New Roman" w:hAnsi="Times New Roman"/>
      <w:b w:val="1"/>
      <w:sz w:val="28"/>
    </w:rPr>
  </w:style>
  <w:style w:styleId="Style_32_ch" w:type="character">
    <w:name w:val="heading 6"/>
    <w:basedOn w:val="Style_4_ch"/>
    <w:link w:val="Style_32"/>
    <w:rPr>
      <w:rFonts w:ascii="Times New Roman" w:hAnsi="Times New Roman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2026-06-17T11:25:12Z</dcterms:modified>
</cp:coreProperties>
</file>